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BE5" w:rsidRPr="00FD166F" w:rsidRDefault="008D0BE5" w:rsidP="008D0BE5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#90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R4-1</w:t>
      </w:r>
      <w:r>
        <w:rPr>
          <w:rFonts w:ascii="Arial" w:hAnsi="Arial" w:cs="Arial"/>
          <w:b/>
          <w:lang w:val="de-DE"/>
        </w:rPr>
        <w:t>9</w:t>
      </w:r>
      <w:r w:rsidR="003E4D0F">
        <w:rPr>
          <w:rFonts w:ascii="Arial" w:hAnsi="Arial" w:cs="Arial"/>
          <w:b/>
          <w:lang w:val="de-DE"/>
        </w:rPr>
        <w:t>01969</w:t>
      </w:r>
      <w:r>
        <w:rPr>
          <w:rFonts w:ascii="Arial" w:hAnsi="Arial" w:cs="Arial"/>
          <w:b/>
          <w:lang w:val="de-DE"/>
        </w:rPr>
        <w:br/>
      </w:r>
      <w:r>
        <w:rPr>
          <w:rFonts w:ascii="Arial" w:hAnsi="Arial" w:cs="Arial"/>
          <w:b/>
        </w:rPr>
        <w:t>Athens, Greece, February 25 – March 1, 2019</w:t>
      </w:r>
    </w:p>
    <w:p w:rsidR="008D0BE5" w:rsidRDefault="008D0BE5" w:rsidP="008D0BE5">
      <w:pPr>
        <w:tabs>
          <w:tab w:val="left" w:pos="2160"/>
        </w:tabs>
        <w:rPr>
          <w:rFonts w:ascii="Arial" w:hAnsi="Arial" w:cs="Arial"/>
          <w:b/>
        </w:rPr>
      </w:pP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7A3453" w:rsidRPr="00D428D1">
        <w:rPr>
          <w:rFonts w:ascii="Arial" w:hAnsi="Arial" w:cs="Arial"/>
          <w:b/>
        </w:rPr>
        <w:t>6.7.</w:t>
      </w:r>
      <w:r w:rsidR="008D41AA" w:rsidRPr="00D428D1">
        <w:rPr>
          <w:rFonts w:ascii="Arial" w:hAnsi="Arial" w:cs="Arial"/>
          <w:b/>
        </w:rPr>
        <w:t>8</w:t>
      </w: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61C73">
        <w:rPr>
          <w:rFonts w:ascii="Arial" w:hAnsi="Arial" w:cs="Arial"/>
          <w:b/>
        </w:rPr>
        <w:t>Intel Corporation</w:t>
      </w:r>
    </w:p>
    <w:p w:rsidR="008D0BE5" w:rsidRDefault="008D0BE5" w:rsidP="008D0BE5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89025D">
        <w:rPr>
          <w:rFonts w:ascii="Arial" w:hAnsi="Arial" w:cs="Arial"/>
          <w:b/>
        </w:rPr>
        <w:t xml:space="preserve">On </w:t>
      </w:r>
      <w:r w:rsidR="00E74033">
        <w:rPr>
          <w:rFonts w:ascii="Arial" w:hAnsi="Arial" w:cs="Arial"/>
          <w:b/>
        </w:rPr>
        <w:t xml:space="preserve">UE capability </w:t>
      </w:r>
      <w:r w:rsidR="00E74033" w:rsidRPr="0089025D">
        <w:rPr>
          <w:rFonts w:ascii="Arial" w:hAnsi="Arial" w:cs="Arial"/>
          <w:b/>
          <w:i/>
        </w:rPr>
        <w:t>maxUplinkDutyCycle</w:t>
      </w:r>
      <w:r w:rsidR="00417DEE">
        <w:rPr>
          <w:rFonts w:ascii="Arial" w:hAnsi="Arial" w:cs="Arial"/>
          <w:b/>
        </w:rPr>
        <w:t xml:space="preserve"> </w:t>
      </w:r>
      <w:r w:rsidR="00803629">
        <w:rPr>
          <w:rFonts w:ascii="Arial" w:hAnsi="Arial" w:cs="Arial"/>
          <w:b/>
        </w:rPr>
        <w:t>for</w:t>
      </w:r>
      <w:r w:rsidR="00417DEE">
        <w:rPr>
          <w:rFonts w:ascii="Arial" w:hAnsi="Arial" w:cs="Arial"/>
          <w:b/>
        </w:rPr>
        <w:t xml:space="preserve"> FR2</w:t>
      </w: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8D0BE5" w:rsidRPr="00871EA3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t>Introduction</w:t>
      </w:r>
    </w:p>
    <w:p w:rsidR="00E80A46" w:rsidRPr="00E80A46" w:rsidRDefault="00ED67B8" w:rsidP="008D0BE5">
      <w:pPr>
        <w:rPr>
          <w:sz w:val="20"/>
          <w:szCs w:val="20"/>
        </w:rPr>
      </w:pPr>
      <w:r>
        <w:rPr>
          <w:sz w:val="20"/>
          <w:szCs w:val="20"/>
        </w:rPr>
        <w:t>In recent meetings</w:t>
      </w:r>
      <w:r w:rsidR="00E80A46" w:rsidRPr="00E80A46">
        <w:rPr>
          <w:sz w:val="20"/>
          <w:szCs w:val="20"/>
        </w:rPr>
        <w:t xml:space="preserve">, RAN4 </w:t>
      </w:r>
      <w:r>
        <w:rPr>
          <w:sz w:val="20"/>
          <w:szCs w:val="20"/>
        </w:rPr>
        <w:t xml:space="preserve">has </w:t>
      </w:r>
      <w:r w:rsidR="00E80A46" w:rsidRPr="00E80A46">
        <w:rPr>
          <w:sz w:val="20"/>
          <w:szCs w:val="20"/>
        </w:rPr>
        <w:t>discuss</w:t>
      </w:r>
      <w:r>
        <w:rPr>
          <w:sz w:val="20"/>
          <w:szCs w:val="20"/>
        </w:rPr>
        <w:t>ed</w:t>
      </w:r>
      <w:r w:rsidR="00E80A46" w:rsidRPr="00E80A46">
        <w:rPr>
          <w:sz w:val="20"/>
          <w:szCs w:val="20"/>
        </w:rPr>
        <w:t xml:space="preserve"> how to address RF exposure (RFE) compliance in FR2. Given the potential </w:t>
      </w:r>
      <w:r>
        <w:rPr>
          <w:sz w:val="20"/>
          <w:szCs w:val="20"/>
        </w:rPr>
        <w:t>impact on the mm-wave link</w:t>
      </w:r>
      <w:r w:rsidR="00E80A46" w:rsidRPr="00E80A46">
        <w:rPr>
          <w:sz w:val="20"/>
          <w:szCs w:val="20"/>
        </w:rPr>
        <w:t>, additional techniques w</w:t>
      </w:r>
      <w:r>
        <w:rPr>
          <w:sz w:val="20"/>
          <w:szCs w:val="20"/>
        </w:rPr>
        <w:t>ere deemed necessary to help the UE in certain scenarios</w:t>
      </w:r>
      <w:r w:rsidR="00864623">
        <w:rPr>
          <w:sz w:val="20"/>
          <w:szCs w:val="20"/>
        </w:rPr>
        <w:t xml:space="preserve"> [1</w:t>
      </w:r>
      <w:proofErr w:type="gramStart"/>
      <w:r w:rsidR="00864623">
        <w:rPr>
          <w:sz w:val="20"/>
          <w:szCs w:val="20"/>
        </w:rPr>
        <w:t>,2</w:t>
      </w:r>
      <w:proofErr w:type="gramEnd"/>
      <w:r>
        <w:rPr>
          <w:sz w:val="20"/>
          <w:szCs w:val="20"/>
        </w:rPr>
        <w:t>]</w:t>
      </w:r>
      <w:r w:rsidR="00E80A46" w:rsidRPr="00E80A46">
        <w:rPr>
          <w:sz w:val="20"/>
          <w:szCs w:val="20"/>
        </w:rPr>
        <w:t>. During the RAN4 #89</w:t>
      </w:r>
      <w:r>
        <w:rPr>
          <w:sz w:val="20"/>
          <w:szCs w:val="20"/>
        </w:rPr>
        <w:t xml:space="preserve"> meeting</w:t>
      </w:r>
      <w:r w:rsidR="00E80A46" w:rsidRPr="00E80A46">
        <w:rPr>
          <w:sz w:val="20"/>
          <w:szCs w:val="20"/>
        </w:rPr>
        <w:t xml:space="preserve">, the UE capability </w:t>
      </w:r>
      <w:r w:rsidR="00E80A46" w:rsidRPr="00E80A46">
        <w:rPr>
          <w:i/>
          <w:sz w:val="20"/>
          <w:szCs w:val="20"/>
        </w:rPr>
        <w:t>maxUplinkDutyCycle</w:t>
      </w:r>
      <w:r w:rsidR="00E80A46" w:rsidRPr="00E80A46">
        <w:rPr>
          <w:sz w:val="20"/>
          <w:szCs w:val="20"/>
        </w:rPr>
        <w:t xml:space="preserve"> was approved for FR2 for this exact purpose [</w:t>
      </w:r>
      <w:r w:rsidR="00864623">
        <w:rPr>
          <w:sz w:val="20"/>
          <w:szCs w:val="20"/>
        </w:rPr>
        <w:t>2</w:t>
      </w:r>
      <w:r w:rsidR="00E80A46" w:rsidRPr="00E80A46">
        <w:rPr>
          <w:sz w:val="20"/>
          <w:szCs w:val="20"/>
        </w:rPr>
        <w:t xml:space="preserve">]. The capability will allow the UE to signal its preferred maximum UL duty cycle to </w:t>
      </w:r>
      <w:r w:rsidR="00E11D54">
        <w:rPr>
          <w:sz w:val="20"/>
          <w:szCs w:val="20"/>
        </w:rPr>
        <w:t xml:space="preserve">the </w:t>
      </w:r>
      <w:r w:rsidR="00E80A46" w:rsidRPr="00E80A46">
        <w:rPr>
          <w:sz w:val="20"/>
          <w:szCs w:val="20"/>
        </w:rPr>
        <w:t xml:space="preserve">network.  </w:t>
      </w:r>
    </w:p>
    <w:p w:rsidR="00E80A46" w:rsidRPr="00E80A46" w:rsidRDefault="00E80A46" w:rsidP="008D0BE5">
      <w:pPr>
        <w:rPr>
          <w:sz w:val="20"/>
          <w:szCs w:val="20"/>
        </w:rPr>
      </w:pPr>
    </w:p>
    <w:p w:rsidR="00E80A46" w:rsidRPr="00E80A46" w:rsidRDefault="00E80A46" w:rsidP="00E80A46">
      <w:pPr>
        <w:spacing w:after="120"/>
        <w:rPr>
          <w:sz w:val="20"/>
          <w:szCs w:val="20"/>
        </w:rPr>
      </w:pPr>
      <w:r w:rsidRPr="00E80A46">
        <w:rPr>
          <w:sz w:val="20"/>
          <w:szCs w:val="20"/>
        </w:rPr>
        <w:t>Agreements captured in RAN4 #89 [</w:t>
      </w:r>
      <w:r w:rsidR="00864623">
        <w:rPr>
          <w:sz w:val="20"/>
          <w:szCs w:val="20"/>
        </w:rPr>
        <w:t>2</w:t>
      </w:r>
      <w:r w:rsidRPr="00E80A46">
        <w:rPr>
          <w:sz w:val="20"/>
          <w:szCs w:val="20"/>
        </w:rPr>
        <w:t>]</w:t>
      </w:r>
    </w:p>
    <w:p w:rsidR="00E80A46" w:rsidRDefault="00E80A46" w:rsidP="008D0BE5">
      <w:r>
        <w:rPr>
          <w:noProof/>
        </w:rPr>
        <mc:AlternateContent>
          <mc:Choice Requires="wps">
            <w:drawing>
              <wp:inline distT="0" distB="0" distL="0" distR="0" wp14:anchorId="2932E231" wp14:editId="201C4486">
                <wp:extent cx="6120765" cy="2021648"/>
                <wp:effectExtent l="0" t="0" r="26035" b="1460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02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09" w:hanging="425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 xml:space="preserve">Decide whether to </w:t>
                            </w:r>
                            <w:r w:rsidRPr="00E80A46">
                              <w:rPr>
                                <w:i/>
                                <w:sz w:val="18"/>
                                <w:szCs w:val="20"/>
                              </w:rPr>
                              <w:t>solely</w:t>
                            </w:r>
                            <w:r w:rsidRPr="00E80A46">
                              <w:rPr>
                                <w:sz w:val="18"/>
                                <w:szCs w:val="20"/>
                              </w:rPr>
                              <w:t xml:space="preserve"> rely on P-MPR to maintain compliance with RFE limits, or introduce mitigation techniques. Agreements: 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Not enough to solely rely on P-MPR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Introduce techniques to facilitate RFE compliance and mitigate radio link failure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09" w:hanging="425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Solutions/potential mitigation techniques for Rel-15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Maximum uplink duty cycle restriction, study configuration with capability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09" w:hanging="425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Solutions/potential mitigation techniques for Rel-16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Dynamically indicated maximum uplink duty cycle restriction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UE provides information for network to avoid UL failure (UE initiated)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2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e.g. information about P-MPR being reported to the network by the UE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Other solutions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32E23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159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" filled="f" strokeweight=".5pt">
                <v:textbox style="mso-fit-shape-to-text:t">
                  <w:txbxContent>
                    <w:p w:rsidR="0054747F" w:rsidRPr="00E80A46" w:rsidRDefault="0054747F" w:rsidP="00E80A4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09" w:hanging="425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 xml:space="preserve">Decide whether to </w:t>
                      </w:r>
                      <w:r w:rsidRPr="00E80A46">
                        <w:rPr>
                          <w:i/>
                          <w:sz w:val="18"/>
                          <w:szCs w:val="20"/>
                        </w:rPr>
                        <w:t>solely</w:t>
                      </w:r>
                      <w:r w:rsidRPr="00E80A46">
                        <w:rPr>
                          <w:sz w:val="18"/>
                          <w:szCs w:val="20"/>
                        </w:rPr>
                        <w:t xml:space="preserve"> rely on P-MPR to maintain compliance with RFE limits, or introduce mitigation techniques. Agreements: </w:t>
                      </w:r>
                    </w:p>
                    <w:p w:rsidR="0054747F" w:rsidRPr="00E80A46" w:rsidRDefault="0054747F" w:rsidP="00E80A46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Not enough to solely rely on P-MPR</w:t>
                      </w:r>
                    </w:p>
                    <w:p w:rsidR="0054747F" w:rsidRPr="00E80A46" w:rsidRDefault="0054747F" w:rsidP="00E80A46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Introduce techniques to facilitate RFE compliance and mitigate radio link failure</w:t>
                      </w:r>
                    </w:p>
                    <w:p w:rsidR="0054747F" w:rsidRPr="00E80A46" w:rsidRDefault="0054747F" w:rsidP="00E80A4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09" w:hanging="425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Solutions/potential mitigation techniques for Rel-15</w:t>
                      </w:r>
                    </w:p>
                    <w:p w:rsidR="0054747F" w:rsidRPr="00E80A46" w:rsidRDefault="0054747F" w:rsidP="00E80A46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Maximum uplink duty cycle restriction, study configuration with capability</w:t>
                      </w:r>
                    </w:p>
                    <w:p w:rsidR="0054747F" w:rsidRPr="00E80A46" w:rsidRDefault="0054747F" w:rsidP="00E80A4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09" w:hanging="425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Solutions/potential mitigation techniques for Rel-16</w:t>
                      </w:r>
                    </w:p>
                    <w:p w:rsidR="0054747F" w:rsidRPr="00E80A46" w:rsidRDefault="0054747F" w:rsidP="00E80A46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Dynamically indicated maximum uplink duty cycle restriction</w:t>
                      </w:r>
                    </w:p>
                    <w:p w:rsidR="0054747F" w:rsidRPr="00E80A46" w:rsidRDefault="0054747F" w:rsidP="00E80A46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UE provides information for network to avoid UL failure (UE initiated)</w:t>
                      </w:r>
                    </w:p>
                    <w:p w:rsidR="0054747F" w:rsidRPr="00E80A46" w:rsidRDefault="0054747F" w:rsidP="00E80A46">
                      <w:pPr>
                        <w:numPr>
                          <w:ilvl w:val="2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e.g. information about P-MPR being reported to the network by the UE</w:t>
                      </w:r>
                    </w:p>
                    <w:p w:rsidR="0054747F" w:rsidRPr="00E80A46" w:rsidRDefault="0054747F" w:rsidP="00E80A46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Other solutions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80A46" w:rsidRPr="008B61BA" w:rsidRDefault="00E80A46" w:rsidP="008D0BE5">
      <w:pPr>
        <w:rPr>
          <w:sz w:val="20"/>
          <w:szCs w:val="20"/>
        </w:rPr>
      </w:pPr>
    </w:p>
    <w:p w:rsidR="006C34AE" w:rsidRDefault="003A12D3" w:rsidP="008B61BA">
      <w:pPr>
        <w:spacing w:after="120"/>
        <w:rPr>
          <w:sz w:val="20"/>
          <w:szCs w:val="20"/>
        </w:rPr>
      </w:pPr>
      <w:r>
        <w:rPr>
          <w:sz w:val="20"/>
          <w:szCs w:val="20"/>
        </w:rPr>
        <w:t>A</w:t>
      </w:r>
      <w:r w:rsidR="006C34AE" w:rsidRPr="008B61BA">
        <w:rPr>
          <w:sz w:val="20"/>
          <w:szCs w:val="20"/>
        </w:rPr>
        <w:t xml:space="preserve">n LS was </w:t>
      </w:r>
      <w:r>
        <w:rPr>
          <w:sz w:val="20"/>
          <w:szCs w:val="20"/>
        </w:rPr>
        <w:t xml:space="preserve">also </w:t>
      </w:r>
      <w:r w:rsidR="006C34AE" w:rsidRPr="008B61BA">
        <w:rPr>
          <w:sz w:val="20"/>
          <w:szCs w:val="20"/>
        </w:rPr>
        <w:t>approved to inform RAN2 of this decision</w:t>
      </w:r>
      <w:r w:rsidR="0059116B">
        <w:rPr>
          <w:sz w:val="20"/>
          <w:szCs w:val="20"/>
        </w:rPr>
        <w:t xml:space="preserve"> [</w:t>
      </w:r>
      <w:r w:rsidR="00864623">
        <w:rPr>
          <w:sz w:val="20"/>
          <w:szCs w:val="20"/>
        </w:rPr>
        <w:t>3</w:t>
      </w:r>
      <w:r w:rsidR="0059116B">
        <w:rPr>
          <w:sz w:val="20"/>
          <w:szCs w:val="20"/>
        </w:rPr>
        <w:t>]</w:t>
      </w:r>
      <w:r w:rsidR="006C34AE" w:rsidRPr="008B61BA">
        <w:rPr>
          <w:sz w:val="20"/>
          <w:szCs w:val="20"/>
        </w:rPr>
        <w:t>.</w:t>
      </w:r>
      <w:r w:rsidR="008B61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content of the </w:t>
      </w:r>
      <w:r w:rsidR="00ED67B8">
        <w:rPr>
          <w:sz w:val="20"/>
          <w:szCs w:val="20"/>
        </w:rPr>
        <w:t>LS is found below.</w:t>
      </w:r>
    </w:p>
    <w:p w:rsidR="00ED67B8" w:rsidRDefault="00ED67B8" w:rsidP="008B61BA">
      <w:pPr>
        <w:spacing w:after="120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7D02C6E9" wp14:editId="6E95D8FF">
                <wp:extent cx="6120765" cy="2577965"/>
                <wp:effectExtent l="0" t="0" r="26035" b="10160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5779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D67B8" w:rsidRPr="00ED67B8" w:rsidRDefault="00ED67B8" w:rsidP="00ED67B8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ED67B8">
                              <w:rPr>
                                <w:b/>
                                <w:sz w:val="18"/>
                                <w:szCs w:val="18"/>
                              </w:rPr>
                              <w:t>1. Overall Description: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</w:t>
                            </w: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jc w:val="both"/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RAN4 has discussed how to solve the 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 xml:space="preserve">potential 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MPE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 xml:space="preserve"> (Maximum Permissible Exposure)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issue for 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 xml:space="preserve">FR2 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power class 3 UE.</w:t>
                            </w: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jc w:val="both"/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jc w:val="both"/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It is agreed to use a UE capability of </w:t>
                            </w:r>
                            <w:r w:rsidRPr="00ED67B8">
                              <w:rPr>
                                <w:i/>
                                <w:sz w:val="18"/>
                                <w:szCs w:val="18"/>
                                <w:lang w:eastAsia="ko-KR"/>
                              </w:rPr>
                              <w:t>maxUplinkDutyCycle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which indicates the maximum percentage of uplink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 xml:space="preserve"> transmission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time that can be scheduled 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within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10msec time to ensure compliance with applicable electromagnetic energy absorption requirements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 xml:space="preserve"> provided by regulatory bodies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.</w:t>
                            </w: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jc w:val="both"/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jc w:val="both"/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For a 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FR2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UE when the percentage of uplink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 xml:space="preserve"> transmission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time scheduled by the network 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with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in a certain evaluation period is larger than its capability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 xml:space="preserve">, i.e., </w:t>
                            </w:r>
                            <w:r w:rsidRPr="00ED67B8">
                              <w:rPr>
                                <w:rFonts w:eastAsia="SimSun"/>
                                <w:i/>
                                <w:sz w:val="18"/>
                                <w:szCs w:val="18"/>
                                <w:lang w:eastAsia="zh-CN"/>
                              </w:rPr>
                              <w:t>maxUplinkDutyCycle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, UE could do power back off as in TS38.101-2.</w:t>
                            </w: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jc w:val="both"/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jc w:val="both"/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The capability of </w:t>
                            </w:r>
                            <w:r w:rsidRPr="00ED67B8">
                              <w:rPr>
                                <w:i/>
                                <w:sz w:val="18"/>
                                <w:szCs w:val="18"/>
                                <w:lang w:eastAsia="ko-KR"/>
                              </w:rPr>
                              <w:t>maxUplinkDutyCycle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is reported by UE as a per band capability. The granularity is 10%. For FR2 UE, the range of reported value is FFS. The detailed </w:t>
                            </w:r>
                            <w:proofErr w:type="spellStart"/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signalling</w:t>
                            </w:r>
                            <w:proofErr w:type="spellEnd"/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design is up to RAN2.</w:t>
                            </w: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jc w:val="both"/>
                              <w:rPr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  <w:p w:rsidR="00ED67B8" w:rsidRPr="00ED67B8" w:rsidRDefault="00ED67B8" w:rsidP="00ED67B8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ED67B8">
                              <w:rPr>
                                <w:b/>
                                <w:sz w:val="18"/>
                                <w:szCs w:val="18"/>
                              </w:rPr>
                              <w:t>2. Actions:</w:t>
                            </w:r>
                          </w:p>
                          <w:p w:rsidR="00ED67B8" w:rsidRPr="00ED67B8" w:rsidRDefault="00ED67B8" w:rsidP="00ED67B8">
                            <w:pPr>
                              <w:ind w:left="1985" w:hanging="1985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ED67B8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To</w:t>
                            </w:r>
                            <w:r w:rsidRPr="00ED67B8">
                              <w:rPr>
                                <w:b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  <w:r w:rsidRPr="00ED67B8">
                              <w:rPr>
                                <w:b/>
                                <w:color w:val="000000"/>
                                <w:sz w:val="18"/>
                                <w:szCs w:val="18"/>
                              </w:rPr>
                              <w:t>RA</w:t>
                            </w:r>
                            <w:r w:rsidRPr="00ED67B8">
                              <w:rPr>
                                <w:b/>
                                <w:sz w:val="18"/>
                                <w:szCs w:val="18"/>
                              </w:rPr>
                              <w:t>N</w:t>
                            </w:r>
                            <w:r w:rsidRPr="00ED67B8">
                              <w:rPr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  <w:r w:rsidRPr="00ED67B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WG: </w:t>
                            </w:r>
                          </w:p>
                          <w:p w:rsidR="00ED67B8" w:rsidRPr="00ED67B8" w:rsidRDefault="00ED67B8" w:rsidP="00ED67B8">
                            <w:pPr>
                              <w:tabs>
                                <w:tab w:val="left" w:pos="6924"/>
                              </w:tabs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>RAN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4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kindly asks 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RAN2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ko-KR"/>
                              </w:rPr>
                              <w:t xml:space="preserve"> to </w:t>
                            </w:r>
                            <w:r w:rsidRPr="00ED67B8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take the above agreement into consideration</w:t>
                            </w:r>
                            <w:r w:rsidRPr="00ED67B8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and design the capability </w:t>
                            </w:r>
                            <w:proofErr w:type="spellStart"/>
                            <w:r w:rsidRPr="00ED67B8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signalling</w:t>
                            </w:r>
                            <w:proofErr w:type="spellEnd"/>
                            <w:r w:rsidRPr="00ED67B8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02C6E9" id="Text Box 7" o:spid="_x0000_s1027" type="#_x0000_t202" style="width:481.95pt;height:20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" filled="f" strokeweight=".5pt">
                <v:textbox style="mso-fit-shape-to-text:t">
                  <w:txbxContent>
                    <w:p w:rsidR="00ED67B8" w:rsidRPr="00ED67B8" w:rsidRDefault="00ED67B8" w:rsidP="00ED67B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ED67B8">
                        <w:rPr>
                          <w:b/>
                          <w:sz w:val="18"/>
                          <w:szCs w:val="18"/>
                        </w:rPr>
                        <w:t>1. Overall Description: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</w:t>
                      </w: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jc w:val="both"/>
                        <w:rPr>
                          <w:sz w:val="18"/>
                          <w:szCs w:val="18"/>
                          <w:lang w:eastAsia="ko-KR"/>
                        </w:rPr>
                      </w:pP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RAN4 has discussed how to solve the 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 xml:space="preserve">potential 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>MPE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 xml:space="preserve"> (Maximum Permissible Exposure)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issue for 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 xml:space="preserve">FR2 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>power class 3 UE.</w:t>
                      </w: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jc w:val="both"/>
                        <w:rPr>
                          <w:sz w:val="18"/>
                          <w:szCs w:val="18"/>
                          <w:lang w:eastAsia="ko-KR"/>
                        </w:rPr>
                      </w:pP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jc w:val="both"/>
                        <w:rPr>
                          <w:sz w:val="18"/>
                          <w:szCs w:val="18"/>
                          <w:lang w:eastAsia="ko-KR"/>
                        </w:rPr>
                      </w:pP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It is agreed to use a UE capability of </w:t>
                      </w:r>
                      <w:r w:rsidRPr="00ED67B8">
                        <w:rPr>
                          <w:i/>
                          <w:sz w:val="18"/>
                          <w:szCs w:val="18"/>
                          <w:lang w:eastAsia="ko-KR"/>
                        </w:rPr>
                        <w:t>maxUplinkDutyCycle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which indicates the maximum percentage of uplink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 xml:space="preserve"> transmission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time that can be scheduled 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within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10msec time to ensure compliance with applicable electromagnetic energy absorption requirements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 xml:space="preserve"> provided by regulatory bodies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>.</w:t>
                      </w: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jc w:val="both"/>
                        <w:rPr>
                          <w:sz w:val="18"/>
                          <w:szCs w:val="18"/>
                          <w:lang w:eastAsia="ko-KR"/>
                        </w:rPr>
                      </w:pP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jc w:val="both"/>
                        <w:rPr>
                          <w:sz w:val="18"/>
                          <w:szCs w:val="18"/>
                          <w:lang w:eastAsia="ko-KR"/>
                        </w:rPr>
                      </w:pP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For a 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FR2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UE when the percentage of uplink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 xml:space="preserve"> transmission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time scheduled by the network 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with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>in a certain evaluation period is larger than its capability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 xml:space="preserve">, i.e., </w:t>
                      </w:r>
                      <w:r w:rsidRPr="00ED67B8">
                        <w:rPr>
                          <w:rFonts w:eastAsia="SimSun"/>
                          <w:i/>
                          <w:sz w:val="18"/>
                          <w:szCs w:val="18"/>
                          <w:lang w:eastAsia="zh-CN"/>
                        </w:rPr>
                        <w:t>maxUplinkDutyCycle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>, UE could do power back off as in TS38.101-2.</w:t>
                      </w: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jc w:val="both"/>
                        <w:rPr>
                          <w:sz w:val="18"/>
                          <w:szCs w:val="18"/>
                          <w:lang w:eastAsia="ko-KR"/>
                        </w:rPr>
                      </w:pP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jc w:val="both"/>
                        <w:rPr>
                          <w:sz w:val="18"/>
                          <w:szCs w:val="18"/>
                          <w:lang w:eastAsia="ko-KR"/>
                        </w:rPr>
                      </w:pP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The capability of </w:t>
                      </w:r>
                      <w:r w:rsidRPr="00ED67B8">
                        <w:rPr>
                          <w:i/>
                          <w:sz w:val="18"/>
                          <w:szCs w:val="18"/>
                          <w:lang w:eastAsia="ko-KR"/>
                        </w:rPr>
                        <w:t>maxUplinkDutyCycle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is reported by UE as a per band capability. The granularity is 10%. For FR2 UE, the range of reported value is FFS. The detailed </w:t>
                      </w:r>
                      <w:proofErr w:type="spellStart"/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>signalling</w:t>
                      </w:r>
                      <w:proofErr w:type="spellEnd"/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design is up to RAN2.</w:t>
                      </w: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jc w:val="both"/>
                        <w:rPr>
                          <w:sz w:val="18"/>
                          <w:szCs w:val="18"/>
                          <w:lang w:eastAsia="ko-KR"/>
                        </w:rPr>
                      </w:pPr>
                    </w:p>
                    <w:p w:rsidR="00ED67B8" w:rsidRPr="00ED67B8" w:rsidRDefault="00ED67B8" w:rsidP="00ED67B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ED67B8">
                        <w:rPr>
                          <w:b/>
                          <w:sz w:val="18"/>
                          <w:szCs w:val="18"/>
                        </w:rPr>
                        <w:t>2. Actions:</w:t>
                      </w:r>
                    </w:p>
                    <w:p w:rsidR="00ED67B8" w:rsidRPr="00ED67B8" w:rsidRDefault="00ED67B8" w:rsidP="00ED67B8">
                      <w:pPr>
                        <w:ind w:left="1985" w:hanging="1985"/>
                        <w:rPr>
                          <w:b/>
                          <w:sz w:val="18"/>
                          <w:szCs w:val="18"/>
                        </w:rPr>
                      </w:pPr>
                      <w:r w:rsidRPr="00ED67B8">
                        <w:rPr>
                          <w:b/>
                          <w:color w:val="000000"/>
                          <w:sz w:val="18"/>
                          <w:szCs w:val="18"/>
                        </w:rPr>
                        <w:t>To</w:t>
                      </w:r>
                      <w:r w:rsidRPr="00ED67B8">
                        <w:rPr>
                          <w:b/>
                          <w:color w:val="000000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 w:rsidRPr="00ED67B8">
                        <w:rPr>
                          <w:b/>
                          <w:color w:val="000000"/>
                          <w:sz w:val="18"/>
                          <w:szCs w:val="18"/>
                        </w:rPr>
                        <w:t>RA</w:t>
                      </w:r>
                      <w:r w:rsidRPr="00ED67B8">
                        <w:rPr>
                          <w:b/>
                          <w:sz w:val="18"/>
                          <w:szCs w:val="18"/>
                        </w:rPr>
                        <w:t>N</w:t>
                      </w:r>
                      <w:r w:rsidRPr="00ED67B8">
                        <w:rPr>
                          <w:b/>
                          <w:sz w:val="18"/>
                          <w:szCs w:val="18"/>
                          <w:lang w:eastAsia="zh-CN"/>
                        </w:rPr>
                        <w:t>2</w:t>
                      </w:r>
                      <w:r w:rsidRPr="00ED67B8">
                        <w:rPr>
                          <w:b/>
                          <w:sz w:val="18"/>
                          <w:szCs w:val="18"/>
                        </w:rPr>
                        <w:t xml:space="preserve"> WG: </w:t>
                      </w:r>
                    </w:p>
                    <w:p w:rsidR="00ED67B8" w:rsidRPr="00ED67B8" w:rsidRDefault="00ED67B8" w:rsidP="00ED67B8">
                      <w:pPr>
                        <w:tabs>
                          <w:tab w:val="left" w:pos="6924"/>
                        </w:tabs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>RAN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4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kindly asks 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RAN2</w:t>
                      </w:r>
                      <w:r w:rsidRPr="00ED67B8">
                        <w:rPr>
                          <w:sz w:val="18"/>
                          <w:szCs w:val="18"/>
                          <w:lang w:eastAsia="ko-KR"/>
                        </w:rPr>
                        <w:t xml:space="preserve"> to </w:t>
                      </w:r>
                      <w:r w:rsidRPr="00ED67B8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take the above agreement into consideration</w:t>
                      </w:r>
                      <w:r w:rsidRPr="00ED67B8">
                        <w:rPr>
                          <w:sz w:val="18"/>
                          <w:szCs w:val="18"/>
                          <w:lang w:eastAsia="zh-CN"/>
                        </w:rPr>
                        <w:t xml:space="preserve"> and design the capability </w:t>
                      </w:r>
                      <w:proofErr w:type="spellStart"/>
                      <w:r w:rsidRPr="00ED67B8">
                        <w:rPr>
                          <w:sz w:val="18"/>
                          <w:szCs w:val="18"/>
                          <w:lang w:eastAsia="zh-CN"/>
                        </w:rPr>
                        <w:t>signalling</w:t>
                      </w:r>
                      <w:proofErr w:type="spellEnd"/>
                      <w:r w:rsidRPr="00ED67B8">
                        <w:rPr>
                          <w:sz w:val="18"/>
                          <w:szCs w:val="18"/>
                          <w:lang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D67B8" w:rsidRDefault="00ED67B8" w:rsidP="00ED67B8">
      <w:pPr>
        <w:rPr>
          <w:sz w:val="20"/>
          <w:szCs w:val="20"/>
        </w:rPr>
      </w:pPr>
    </w:p>
    <w:p w:rsidR="00ED67B8" w:rsidRDefault="00ED67B8" w:rsidP="00ED67B8">
      <w:pPr>
        <w:rPr>
          <w:sz w:val="20"/>
          <w:szCs w:val="20"/>
        </w:rPr>
      </w:pPr>
      <w:r>
        <w:rPr>
          <w:sz w:val="20"/>
          <w:szCs w:val="20"/>
        </w:rPr>
        <w:t xml:space="preserve">While details on the UE capability </w:t>
      </w:r>
      <w:r w:rsidR="003A12D3">
        <w:rPr>
          <w:i/>
          <w:sz w:val="20"/>
          <w:szCs w:val="20"/>
        </w:rPr>
        <w:t xml:space="preserve">maxUplinkDutyCycle </w:t>
      </w:r>
      <w:r>
        <w:rPr>
          <w:sz w:val="20"/>
          <w:szCs w:val="20"/>
        </w:rPr>
        <w:t>were added to TS 38.101-2 [</w:t>
      </w:r>
      <w:r w:rsidR="00864623">
        <w:rPr>
          <w:sz w:val="20"/>
          <w:szCs w:val="20"/>
        </w:rPr>
        <w:t>4</w:t>
      </w:r>
      <w:proofErr w:type="gramStart"/>
      <w:r w:rsidR="00864623">
        <w:rPr>
          <w:sz w:val="20"/>
          <w:szCs w:val="20"/>
        </w:rPr>
        <w:t>,5</w:t>
      </w:r>
      <w:proofErr w:type="gramEnd"/>
      <w:r>
        <w:rPr>
          <w:sz w:val="20"/>
          <w:szCs w:val="20"/>
        </w:rPr>
        <w:t>], there are still some aspects missing</w:t>
      </w:r>
      <w:r w:rsidR="00864623">
        <w:rPr>
          <w:sz w:val="20"/>
          <w:szCs w:val="20"/>
        </w:rPr>
        <w:t xml:space="preserve"> </w:t>
      </w:r>
      <w:r w:rsidR="003A12D3">
        <w:rPr>
          <w:sz w:val="20"/>
          <w:szCs w:val="20"/>
        </w:rPr>
        <w:t xml:space="preserve">for the </w:t>
      </w:r>
      <w:r w:rsidR="00864623">
        <w:rPr>
          <w:sz w:val="20"/>
          <w:szCs w:val="20"/>
        </w:rPr>
        <w:t>from its definition</w:t>
      </w:r>
      <w:r>
        <w:rPr>
          <w:sz w:val="20"/>
          <w:szCs w:val="20"/>
        </w:rPr>
        <w:t xml:space="preserve">. In this </w:t>
      </w:r>
      <w:r w:rsidR="003A12D3">
        <w:rPr>
          <w:sz w:val="20"/>
          <w:szCs w:val="20"/>
        </w:rPr>
        <w:t xml:space="preserve">paper </w:t>
      </w:r>
      <w:r>
        <w:rPr>
          <w:sz w:val="20"/>
          <w:szCs w:val="20"/>
        </w:rPr>
        <w:t>we provide our views of these aspects</w:t>
      </w:r>
      <w:r w:rsidR="00864623">
        <w:rPr>
          <w:sz w:val="20"/>
          <w:szCs w:val="20"/>
        </w:rPr>
        <w:t>.</w:t>
      </w:r>
    </w:p>
    <w:p w:rsidR="00ED67B8" w:rsidRPr="008B61BA" w:rsidRDefault="00ED67B8" w:rsidP="008B61BA">
      <w:pPr>
        <w:spacing w:after="120"/>
        <w:rPr>
          <w:sz w:val="20"/>
          <w:szCs w:val="20"/>
        </w:rPr>
      </w:pPr>
    </w:p>
    <w:p w:rsidR="006C34AE" w:rsidRPr="008B61BA" w:rsidRDefault="006C34AE" w:rsidP="006C34AE">
      <w:pPr>
        <w:rPr>
          <w:sz w:val="20"/>
          <w:szCs w:val="20"/>
        </w:rPr>
      </w:pPr>
    </w:p>
    <w:p w:rsidR="006C34AE" w:rsidRPr="008B61BA" w:rsidRDefault="006C34AE" w:rsidP="008D0BE5">
      <w:pPr>
        <w:rPr>
          <w:sz w:val="20"/>
          <w:szCs w:val="20"/>
        </w:rPr>
      </w:pPr>
    </w:p>
    <w:p w:rsidR="00ED67B8" w:rsidRDefault="00ED67B8" w:rsidP="008D0BE5">
      <w:pPr>
        <w:rPr>
          <w:sz w:val="20"/>
          <w:szCs w:val="20"/>
        </w:rPr>
      </w:pPr>
    </w:p>
    <w:p w:rsidR="008D0BE5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lastRenderedPageBreak/>
        <w:t>Discussion</w:t>
      </w:r>
    </w:p>
    <w:p w:rsidR="008D0BE5" w:rsidRDefault="00ED67B8" w:rsidP="008D0BE5">
      <w:pPr>
        <w:pStyle w:val="Heading2"/>
        <w:tabs>
          <w:tab w:val="clear" w:pos="360"/>
        </w:tabs>
        <w:rPr>
          <w:rFonts w:eastAsia="SimSun"/>
        </w:rPr>
      </w:pPr>
      <w:r>
        <w:rPr>
          <w:rFonts w:eastAsia="SimSun"/>
        </w:rPr>
        <w:t>UE capability maxUplinkDutyCycle</w:t>
      </w:r>
    </w:p>
    <w:p w:rsidR="008406EB" w:rsidRPr="00864623" w:rsidRDefault="00ED67B8" w:rsidP="006529BE">
      <w:pPr>
        <w:rPr>
          <w:sz w:val="20"/>
          <w:szCs w:val="20"/>
        </w:rPr>
      </w:pPr>
      <w:r>
        <w:rPr>
          <w:sz w:val="20"/>
          <w:szCs w:val="20"/>
        </w:rPr>
        <w:t xml:space="preserve">In the last RAN4 meeting, the UE capability </w:t>
      </w:r>
      <w:r w:rsidRPr="00ED67B8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was introduced into the FR2 specification to help </w:t>
      </w:r>
      <w:r w:rsidR="00864623">
        <w:rPr>
          <w:sz w:val="20"/>
          <w:szCs w:val="20"/>
        </w:rPr>
        <w:t xml:space="preserve">facilitate RFE compliance by reducing the </w:t>
      </w:r>
      <w:r>
        <w:rPr>
          <w:sz w:val="20"/>
          <w:szCs w:val="20"/>
        </w:rPr>
        <w:t xml:space="preserve">back-off power required </w:t>
      </w:r>
      <w:r w:rsidR="00864623">
        <w:rPr>
          <w:sz w:val="20"/>
          <w:szCs w:val="20"/>
        </w:rPr>
        <w:t>by the UE [4]</w:t>
      </w:r>
      <w:r>
        <w:rPr>
          <w:sz w:val="20"/>
          <w:szCs w:val="20"/>
        </w:rPr>
        <w:t xml:space="preserve">. </w:t>
      </w:r>
      <w:r w:rsidR="006529BE" w:rsidRPr="008406EB">
        <w:rPr>
          <w:sz w:val="20"/>
          <w:szCs w:val="20"/>
        </w:rPr>
        <w:t>Th</w:t>
      </w:r>
      <w:r>
        <w:rPr>
          <w:sz w:val="20"/>
          <w:szCs w:val="20"/>
        </w:rPr>
        <w:t>e</w:t>
      </w:r>
      <w:r w:rsidR="006529BE" w:rsidRPr="008406E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capability </w:t>
      </w:r>
      <w:r w:rsidR="0054747F" w:rsidRPr="008406EB">
        <w:rPr>
          <w:sz w:val="20"/>
          <w:szCs w:val="20"/>
        </w:rPr>
        <w:t xml:space="preserve">allows </w:t>
      </w:r>
      <w:r w:rsidR="006529BE" w:rsidRPr="008406EB">
        <w:rPr>
          <w:sz w:val="20"/>
          <w:szCs w:val="20"/>
        </w:rPr>
        <w:t xml:space="preserve">the UE to </w:t>
      </w:r>
      <w:r w:rsidR="006529BE" w:rsidRPr="00864623">
        <w:rPr>
          <w:sz w:val="20"/>
          <w:szCs w:val="20"/>
        </w:rPr>
        <w:t xml:space="preserve">signal its desired </w:t>
      </w:r>
      <w:r w:rsidR="0054747F" w:rsidRPr="00864623">
        <w:rPr>
          <w:sz w:val="20"/>
          <w:szCs w:val="20"/>
        </w:rPr>
        <w:t xml:space="preserve">restriction </w:t>
      </w:r>
      <w:r w:rsidR="006529BE" w:rsidRPr="00864623">
        <w:rPr>
          <w:sz w:val="20"/>
          <w:szCs w:val="20"/>
        </w:rPr>
        <w:t>for</w:t>
      </w:r>
      <w:r w:rsidR="0054747F" w:rsidRPr="00864623">
        <w:rPr>
          <w:sz w:val="20"/>
          <w:szCs w:val="20"/>
        </w:rPr>
        <w:t xml:space="preserve"> UL duty cycle</w:t>
      </w:r>
      <w:r w:rsidR="00874646" w:rsidRPr="00864623">
        <w:rPr>
          <w:sz w:val="20"/>
          <w:szCs w:val="20"/>
        </w:rPr>
        <w:t xml:space="preserve"> to the network</w:t>
      </w:r>
      <w:r w:rsidRPr="00864623">
        <w:rPr>
          <w:sz w:val="20"/>
          <w:szCs w:val="20"/>
        </w:rPr>
        <w:t>.</w:t>
      </w:r>
      <w:r w:rsidR="006529BE" w:rsidRPr="00864623">
        <w:rPr>
          <w:sz w:val="20"/>
          <w:szCs w:val="20"/>
        </w:rPr>
        <w:t xml:space="preserve"> </w:t>
      </w:r>
      <w:r w:rsidR="00864623" w:rsidRPr="00864623">
        <w:rPr>
          <w:sz w:val="20"/>
          <w:szCs w:val="20"/>
        </w:rPr>
        <w:t>While the capability was approved and the latest version of TS 38.101-2 includes its definition, we still need to define the range of reported values and a default value.</w:t>
      </w:r>
    </w:p>
    <w:p w:rsidR="00C774A6" w:rsidRPr="00864623" w:rsidRDefault="00C774A6" w:rsidP="006529BE">
      <w:pPr>
        <w:rPr>
          <w:sz w:val="20"/>
          <w:szCs w:val="20"/>
        </w:rPr>
      </w:pPr>
    </w:p>
    <w:p w:rsidR="00864623" w:rsidRPr="00864623" w:rsidRDefault="00864623" w:rsidP="00864623">
      <w:pPr>
        <w:tabs>
          <w:tab w:val="left" w:pos="6924"/>
        </w:tabs>
        <w:jc w:val="both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>Considering traffic distribution is uneven and that we want to reduce the required power back-off, it makes sense for the options of the r</w:t>
      </w:r>
      <w:r w:rsidR="003A12D3">
        <w:rPr>
          <w:sz w:val="20"/>
          <w:szCs w:val="20"/>
          <w:lang w:eastAsia="ko-KR"/>
        </w:rPr>
        <w:t xml:space="preserve">eported values to be under 50%, with the </w:t>
      </w:r>
      <w:r w:rsidRPr="00864623">
        <w:rPr>
          <w:sz w:val="20"/>
          <w:szCs w:val="20"/>
          <w:lang w:eastAsia="ko-KR"/>
        </w:rPr>
        <w:t xml:space="preserve">10% granularity </w:t>
      </w:r>
      <w:r w:rsidR="003A12D3">
        <w:rPr>
          <w:sz w:val="20"/>
          <w:szCs w:val="20"/>
          <w:lang w:eastAsia="ko-KR"/>
        </w:rPr>
        <w:t xml:space="preserve">already </w:t>
      </w:r>
      <w:r>
        <w:rPr>
          <w:sz w:val="20"/>
          <w:szCs w:val="20"/>
          <w:lang w:eastAsia="ko-KR"/>
        </w:rPr>
        <w:t xml:space="preserve">approved in RAN4 and </w:t>
      </w:r>
      <w:r w:rsidRPr="00864623">
        <w:rPr>
          <w:sz w:val="20"/>
          <w:szCs w:val="20"/>
          <w:lang w:eastAsia="ko-KR"/>
        </w:rPr>
        <w:t xml:space="preserve">indicated </w:t>
      </w:r>
      <w:r w:rsidR="003A12D3">
        <w:rPr>
          <w:sz w:val="20"/>
          <w:szCs w:val="20"/>
          <w:lang w:eastAsia="ko-KR"/>
        </w:rPr>
        <w:t>to</w:t>
      </w:r>
      <w:r w:rsidRPr="00864623">
        <w:rPr>
          <w:sz w:val="20"/>
          <w:szCs w:val="20"/>
          <w:lang w:eastAsia="ko-KR"/>
        </w:rPr>
        <w:t xml:space="preserve"> </w:t>
      </w:r>
      <w:r w:rsidR="003A12D3">
        <w:rPr>
          <w:sz w:val="20"/>
          <w:szCs w:val="20"/>
          <w:lang w:eastAsia="ko-KR"/>
        </w:rPr>
        <w:t>RAN2 in an</w:t>
      </w:r>
      <w:r w:rsidRPr="00864623">
        <w:rPr>
          <w:sz w:val="20"/>
          <w:szCs w:val="20"/>
          <w:lang w:eastAsia="ko-KR"/>
        </w:rPr>
        <w:t xml:space="preserve"> LS</w:t>
      </w:r>
      <w:r>
        <w:rPr>
          <w:sz w:val="20"/>
          <w:szCs w:val="20"/>
          <w:lang w:eastAsia="ko-KR"/>
        </w:rPr>
        <w:t xml:space="preserve"> [5]</w:t>
      </w:r>
      <w:r w:rsidRPr="00864623">
        <w:rPr>
          <w:sz w:val="20"/>
          <w:szCs w:val="20"/>
          <w:lang w:eastAsia="ko-KR"/>
        </w:rPr>
        <w:t>.</w:t>
      </w:r>
    </w:p>
    <w:p w:rsidR="00864623" w:rsidRDefault="00864623" w:rsidP="006529BE">
      <w:pPr>
        <w:rPr>
          <w:sz w:val="20"/>
          <w:szCs w:val="20"/>
        </w:rPr>
      </w:pPr>
    </w:p>
    <w:p w:rsidR="00864623" w:rsidRDefault="00864623" w:rsidP="00864623">
      <w:pPr>
        <w:rPr>
          <w:sz w:val="20"/>
          <w:szCs w:val="20"/>
        </w:rPr>
      </w:pPr>
      <w:r w:rsidRPr="007663D2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Define</w:t>
      </w:r>
      <w:bookmarkStart w:id="0" w:name="_GoBack"/>
      <w:bookmarkEnd w:id="0"/>
      <w:r>
        <w:rPr>
          <w:sz w:val="20"/>
          <w:szCs w:val="20"/>
        </w:rPr>
        <w:t xml:space="preserve"> the percentage of reported values for UE capability </w:t>
      </w:r>
      <w:r w:rsidRPr="00864623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as: [10, 20, 30, 40, 50</w:t>
      </w:r>
      <w:proofErr w:type="gramStart"/>
      <w:r>
        <w:rPr>
          <w:sz w:val="20"/>
          <w:szCs w:val="20"/>
        </w:rPr>
        <w:t>]</w:t>
      </w:r>
      <w:r w:rsidR="00B37230">
        <w:rPr>
          <w:sz w:val="20"/>
          <w:szCs w:val="20"/>
        </w:rPr>
        <w:t>%</w:t>
      </w:r>
      <w:proofErr w:type="gramEnd"/>
      <w:r>
        <w:rPr>
          <w:sz w:val="20"/>
          <w:szCs w:val="20"/>
        </w:rPr>
        <w:t>.</w:t>
      </w:r>
    </w:p>
    <w:p w:rsidR="00864623" w:rsidRDefault="00864623" w:rsidP="00ED67B8">
      <w:pPr>
        <w:rPr>
          <w:rFonts w:eastAsia="SimSun"/>
        </w:rPr>
      </w:pPr>
    </w:p>
    <w:p w:rsidR="00ED67B8" w:rsidRDefault="00864623" w:rsidP="006529BE">
      <w:p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Additionally, in FR1 </w:t>
      </w:r>
      <w:r w:rsidRPr="00864623">
        <w:rPr>
          <w:rFonts w:eastAsia="SimSun"/>
          <w:i/>
          <w:sz w:val="20"/>
          <w:szCs w:val="20"/>
        </w:rPr>
        <w:t>maxUplinkDutyCycle</w:t>
      </w:r>
      <w:r>
        <w:rPr>
          <w:rFonts w:eastAsia="SimSun"/>
          <w:sz w:val="20"/>
          <w:szCs w:val="20"/>
        </w:rPr>
        <w:t xml:space="preserve"> included a default value [</w:t>
      </w:r>
      <w:r w:rsidR="00FC272C">
        <w:rPr>
          <w:rFonts w:eastAsia="SimSun"/>
          <w:sz w:val="20"/>
          <w:szCs w:val="20"/>
        </w:rPr>
        <w:t>6</w:t>
      </w:r>
      <w:r>
        <w:rPr>
          <w:rFonts w:eastAsia="SimSun"/>
          <w:sz w:val="20"/>
          <w:szCs w:val="20"/>
        </w:rPr>
        <w:t>]. In absence of a field, the default value is intended to be applied. For FR2, if necessary, we can define a value that aligns well with deployment. We suggest 30%, but are open to discussion.</w:t>
      </w:r>
    </w:p>
    <w:p w:rsidR="00864623" w:rsidRPr="00864623" w:rsidRDefault="00864623" w:rsidP="006529BE">
      <w:pPr>
        <w:rPr>
          <w:sz w:val="20"/>
          <w:szCs w:val="20"/>
        </w:rPr>
      </w:pPr>
    </w:p>
    <w:p w:rsidR="00FB301B" w:rsidRDefault="00FB301B" w:rsidP="006529BE">
      <w:pPr>
        <w:rPr>
          <w:sz w:val="20"/>
          <w:szCs w:val="20"/>
        </w:rPr>
      </w:pPr>
      <w:r w:rsidRPr="007663D2">
        <w:rPr>
          <w:b/>
          <w:sz w:val="20"/>
          <w:szCs w:val="20"/>
        </w:rPr>
        <w:t xml:space="preserve">Proposal </w:t>
      </w:r>
      <w:r w:rsidR="00864623">
        <w:rPr>
          <w:b/>
          <w:sz w:val="20"/>
          <w:szCs w:val="20"/>
        </w:rPr>
        <w:t>2</w:t>
      </w:r>
      <w:r w:rsidRPr="007663D2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864623">
        <w:rPr>
          <w:sz w:val="20"/>
          <w:szCs w:val="20"/>
        </w:rPr>
        <w:t xml:space="preserve">Define default value as 30%. </w:t>
      </w:r>
    </w:p>
    <w:p w:rsidR="0089025D" w:rsidRDefault="0089025D" w:rsidP="006529BE">
      <w:pPr>
        <w:rPr>
          <w:sz w:val="20"/>
          <w:szCs w:val="20"/>
        </w:rPr>
      </w:pPr>
    </w:p>
    <w:p w:rsidR="0089025D" w:rsidRDefault="0089025D" w:rsidP="0089025D">
      <w:pPr>
        <w:rPr>
          <w:sz w:val="20"/>
          <w:szCs w:val="20"/>
        </w:rPr>
      </w:pPr>
      <w:r w:rsidRPr="007663D2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3</w:t>
      </w:r>
      <w:r w:rsidRPr="007663D2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While we propose the above values for the percentage of reported values and </w:t>
      </w:r>
      <w:r w:rsidR="0048515B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default value </w:t>
      </w:r>
      <w:r w:rsidR="0048515B">
        <w:rPr>
          <w:sz w:val="20"/>
          <w:szCs w:val="20"/>
        </w:rPr>
        <w:t>for</w:t>
      </w:r>
      <w:r>
        <w:rPr>
          <w:sz w:val="20"/>
          <w:szCs w:val="20"/>
        </w:rPr>
        <w:t xml:space="preserve"> the UE capability</w:t>
      </w:r>
      <w:r w:rsidR="0048515B">
        <w:rPr>
          <w:sz w:val="20"/>
          <w:szCs w:val="20"/>
        </w:rPr>
        <w:t xml:space="preserve"> </w:t>
      </w:r>
      <w:r w:rsidR="0048515B" w:rsidRPr="0048515B">
        <w:rPr>
          <w:i/>
          <w:sz w:val="20"/>
          <w:szCs w:val="20"/>
        </w:rPr>
        <w:t>maxUplinkDutyCycle</w:t>
      </w:r>
      <w:r w:rsidR="0048515B">
        <w:rPr>
          <w:sz w:val="20"/>
          <w:szCs w:val="20"/>
        </w:rPr>
        <w:t xml:space="preserve"> in FR2</w:t>
      </w:r>
      <w:r>
        <w:rPr>
          <w:sz w:val="20"/>
          <w:szCs w:val="20"/>
        </w:rPr>
        <w:t>, we are open to discussing other alternatives.</w:t>
      </w:r>
    </w:p>
    <w:p w:rsidR="0033768F" w:rsidRDefault="0033768F" w:rsidP="0054747F">
      <w:pPr>
        <w:rPr>
          <w:sz w:val="20"/>
          <w:szCs w:val="20"/>
          <w:highlight w:val="yellow"/>
        </w:rPr>
      </w:pPr>
    </w:p>
    <w:p w:rsidR="008D0BE5" w:rsidRPr="00871EA3" w:rsidRDefault="008D0BE5" w:rsidP="008D0BE5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:rsidR="008D0BE5" w:rsidRPr="008B61BA" w:rsidRDefault="00ED67B8" w:rsidP="008D0BE5">
      <w:pPr>
        <w:rPr>
          <w:sz w:val="20"/>
          <w:szCs w:val="20"/>
        </w:rPr>
      </w:pPr>
      <w:r>
        <w:rPr>
          <w:sz w:val="20"/>
          <w:szCs w:val="20"/>
        </w:rPr>
        <w:t>This pap</w:t>
      </w:r>
      <w:r w:rsidR="0089025D">
        <w:rPr>
          <w:sz w:val="20"/>
          <w:szCs w:val="20"/>
        </w:rPr>
        <w:t xml:space="preserve">er addresses </w:t>
      </w:r>
      <w:r>
        <w:rPr>
          <w:sz w:val="20"/>
          <w:szCs w:val="20"/>
        </w:rPr>
        <w:t xml:space="preserve">open items regarding the UE capability </w:t>
      </w:r>
      <w:r w:rsidRPr="00ED67B8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for FR2.</w:t>
      </w:r>
      <w:r w:rsidR="00BF39D8">
        <w:rPr>
          <w:sz w:val="20"/>
          <w:szCs w:val="20"/>
        </w:rPr>
        <w:t xml:space="preserve"> </w:t>
      </w:r>
      <w:r>
        <w:rPr>
          <w:sz w:val="20"/>
          <w:szCs w:val="20"/>
        </w:rPr>
        <w:t>T</w:t>
      </w:r>
      <w:r w:rsidR="00BF39D8">
        <w:rPr>
          <w:sz w:val="20"/>
          <w:szCs w:val="20"/>
        </w:rPr>
        <w:t xml:space="preserve">he </w:t>
      </w:r>
      <w:r w:rsidR="008D0BE5" w:rsidRPr="008B61BA">
        <w:rPr>
          <w:sz w:val="20"/>
          <w:szCs w:val="20"/>
        </w:rPr>
        <w:t xml:space="preserve">following proposals </w:t>
      </w:r>
      <w:r>
        <w:rPr>
          <w:sz w:val="20"/>
          <w:szCs w:val="20"/>
        </w:rPr>
        <w:t>have been</w:t>
      </w:r>
      <w:r w:rsidR="00BF39D8">
        <w:rPr>
          <w:sz w:val="20"/>
          <w:szCs w:val="20"/>
        </w:rPr>
        <w:t xml:space="preserve"> </w:t>
      </w:r>
      <w:r w:rsidR="008D0BE5" w:rsidRPr="008B61BA">
        <w:rPr>
          <w:sz w:val="20"/>
          <w:szCs w:val="20"/>
        </w:rPr>
        <w:t>made:</w:t>
      </w:r>
    </w:p>
    <w:p w:rsidR="008D0BE5" w:rsidRPr="008B61BA" w:rsidRDefault="008D0BE5" w:rsidP="008D0BE5">
      <w:pPr>
        <w:rPr>
          <w:sz w:val="20"/>
          <w:szCs w:val="20"/>
        </w:rPr>
      </w:pPr>
    </w:p>
    <w:p w:rsidR="00864623" w:rsidRDefault="00864623" w:rsidP="00864623">
      <w:pPr>
        <w:rPr>
          <w:sz w:val="20"/>
          <w:szCs w:val="20"/>
        </w:rPr>
      </w:pPr>
      <w:r w:rsidRPr="007663D2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Define the percentage of reported values for UE capability </w:t>
      </w:r>
      <w:r w:rsidRPr="00864623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as: [10, 20, 30, 40, 50</w:t>
      </w:r>
      <w:proofErr w:type="gramStart"/>
      <w:r>
        <w:rPr>
          <w:sz w:val="20"/>
          <w:szCs w:val="20"/>
        </w:rPr>
        <w:t>]</w:t>
      </w:r>
      <w:r w:rsidR="00B37230">
        <w:rPr>
          <w:sz w:val="20"/>
          <w:szCs w:val="20"/>
        </w:rPr>
        <w:t>%</w:t>
      </w:r>
      <w:proofErr w:type="gramEnd"/>
      <w:r>
        <w:rPr>
          <w:sz w:val="20"/>
          <w:szCs w:val="20"/>
        </w:rPr>
        <w:t>.</w:t>
      </w:r>
    </w:p>
    <w:p w:rsidR="00BF39D8" w:rsidRDefault="00BF39D8" w:rsidP="00BF39D8">
      <w:pPr>
        <w:rPr>
          <w:sz w:val="20"/>
          <w:szCs w:val="20"/>
        </w:rPr>
      </w:pPr>
    </w:p>
    <w:p w:rsidR="00BF39D8" w:rsidRDefault="00864623" w:rsidP="00BF39D8">
      <w:pPr>
        <w:rPr>
          <w:sz w:val="20"/>
          <w:szCs w:val="20"/>
        </w:rPr>
      </w:pPr>
      <w:r w:rsidRPr="007663D2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2</w:t>
      </w:r>
      <w:r w:rsidRPr="007663D2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Define default value as 30%. If needed, the value can be further discussed.</w:t>
      </w:r>
    </w:p>
    <w:p w:rsidR="0089025D" w:rsidRDefault="0089025D" w:rsidP="00BF39D8">
      <w:pPr>
        <w:rPr>
          <w:sz w:val="20"/>
          <w:szCs w:val="20"/>
        </w:rPr>
      </w:pPr>
    </w:p>
    <w:p w:rsidR="0089025D" w:rsidRDefault="0048515B" w:rsidP="0089025D">
      <w:pPr>
        <w:rPr>
          <w:sz w:val="20"/>
          <w:szCs w:val="20"/>
        </w:rPr>
      </w:pPr>
      <w:r w:rsidRPr="007663D2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3</w:t>
      </w:r>
      <w:r w:rsidRPr="007663D2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While we propose the above values for the percentage of reported values and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default value </w:t>
      </w:r>
      <w:r>
        <w:rPr>
          <w:sz w:val="20"/>
          <w:szCs w:val="20"/>
        </w:rPr>
        <w:t>for</w:t>
      </w:r>
      <w:r>
        <w:rPr>
          <w:sz w:val="20"/>
          <w:szCs w:val="20"/>
        </w:rPr>
        <w:t xml:space="preserve"> the UE capability </w:t>
      </w:r>
      <w:r w:rsidRPr="0048515B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in FR2, we are open to discussing other alternatives.</w:t>
      </w:r>
    </w:p>
    <w:p w:rsidR="008D0BE5" w:rsidRPr="00871EA3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t>References</w:t>
      </w:r>
    </w:p>
    <w:p w:rsidR="00BF39D8" w:rsidRPr="00297F61" w:rsidRDefault="0048515B" w:rsidP="00BF39D8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>R4-1814176, “W</w:t>
      </w:r>
      <w:r>
        <w:rPr>
          <w:sz w:val="20"/>
          <w:szCs w:val="20"/>
        </w:rPr>
        <w:t xml:space="preserve">ay </w:t>
      </w:r>
      <w:r w:rsidRPr="00C6749D">
        <w:rPr>
          <w:sz w:val="20"/>
          <w:szCs w:val="20"/>
        </w:rPr>
        <w:t>F</w:t>
      </w:r>
      <w:r>
        <w:rPr>
          <w:sz w:val="20"/>
          <w:szCs w:val="20"/>
        </w:rPr>
        <w:t>orward</w:t>
      </w:r>
      <w:r w:rsidRPr="00C6749D">
        <w:rPr>
          <w:sz w:val="20"/>
          <w:szCs w:val="20"/>
        </w:rPr>
        <w:t xml:space="preserve"> on </w:t>
      </w:r>
      <w:r>
        <w:rPr>
          <w:sz w:val="20"/>
          <w:szCs w:val="20"/>
        </w:rPr>
        <w:t>RF exposure compliance in FR2</w:t>
      </w:r>
      <w:r w:rsidRPr="00C6749D">
        <w:rPr>
          <w:sz w:val="20"/>
          <w:szCs w:val="20"/>
        </w:rPr>
        <w:t>,” Intel, 3GPP RAN4 #88-Bis, October 2018</w:t>
      </w:r>
    </w:p>
    <w:p w:rsidR="00BF39D8" w:rsidRPr="00297F61" w:rsidRDefault="008B61BA" w:rsidP="008B61BA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297F61">
        <w:rPr>
          <w:sz w:val="20"/>
          <w:szCs w:val="20"/>
        </w:rPr>
        <w:t xml:space="preserve">R4-1816637, “RFE compliance in FR2 - </w:t>
      </w:r>
      <w:r w:rsidRPr="00297F61">
        <w:rPr>
          <w:i/>
          <w:sz w:val="20"/>
          <w:szCs w:val="20"/>
        </w:rPr>
        <w:t>ad hoc</w:t>
      </w:r>
      <w:r w:rsidRPr="00297F61">
        <w:rPr>
          <w:sz w:val="20"/>
          <w:szCs w:val="20"/>
        </w:rPr>
        <w:t xml:space="preserve"> minutes,” Intel, 3GPP RAN4 #89, November 2018</w:t>
      </w:r>
    </w:p>
    <w:p w:rsidR="0059116B" w:rsidRPr="00297F61" w:rsidRDefault="0059116B" w:rsidP="0059116B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297F61">
        <w:rPr>
          <w:sz w:val="20"/>
          <w:szCs w:val="20"/>
        </w:rPr>
        <w:t xml:space="preserve">R4-1816756, “LS on FR2 MPE,” </w:t>
      </w:r>
      <w:r w:rsidR="00297F61" w:rsidRPr="00297F61">
        <w:rPr>
          <w:sz w:val="20"/>
          <w:szCs w:val="20"/>
        </w:rPr>
        <w:t>OPPO</w:t>
      </w:r>
      <w:r w:rsidRPr="00297F61">
        <w:rPr>
          <w:sz w:val="20"/>
          <w:szCs w:val="20"/>
        </w:rPr>
        <w:t>, 3GPP RAN4 #89, November 2018</w:t>
      </w:r>
    </w:p>
    <w:p w:rsidR="00297F61" w:rsidRPr="00297F61" w:rsidRDefault="00297F61" w:rsidP="00297F61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297F61">
        <w:rPr>
          <w:sz w:val="20"/>
          <w:szCs w:val="20"/>
        </w:rPr>
        <w:t>R4-1816751, “Draft CR for RF exposure compliance in TS38.101-2,” LGE, 3GPP RAN4 #89, November 2018</w:t>
      </w:r>
    </w:p>
    <w:p w:rsidR="0059116B" w:rsidRPr="00297F61" w:rsidRDefault="0059116B" w:rsidP="0059116B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297F61">
        <w:rPr>
          <w:sz w:val="20"/>
          <w:szCs w:val="20"/>
        </w:rPr>
        <w:t>TS</w:t>
      </w:r>
      <w:r w:rsidR="0048515B">
        <w:rPr>
          <w:sz w:val="20"/>
          <w:szCs w:val="20"/>
        </w:rPr>
        <w:t xml:space="preserve"> </w:t>
      </w:r>
      <w:r w:rsidRPr="00297F61">
        <w:rPr>
          <w:sz w:val="20"/>
          <w:szCs w:val="20"/>
        </w:rPr>
        <w:t>38.101-2</w:t>
      </w:r>
      <w:r w:rsidR="00297F61" w:rsidRPr="00297F61">
        <w:rPr>
          <w:sz w:val="20"/>
          <w:szCs w:val="20"/>
        </w:rPr>
        <w:t>,</w:t>
      </w:r>
      <w:r w:rsidRPr="00297F61">
        <w:rPr>
          <w:sz w:val="20"/>
          <w:szCs w:val="20"/>
        </w:rPr>
        <w:t xml:space="preserve"> v</w:t>
      </w:r>
      <w:r w:rsidR="00297F61" w:rsidRPr="00297F61">
        <w:rPr>
          <w:sz w:val="20"/>
          <w:szCs w:val="20"/>
        </w:rPr>
        <w:t xml:space="preserve">ersion </w:t>
      </w:r>
      <w:r w:rsidRPr="00297F61">
        <w:rPr>
          <w:sz w:val="20"/>
          <w:szCs w:val="20"/>
        </w:rPr>
        <w:t>15.4.0</w:t>
      </w:r>
    </w:p>
    <w:p w:rsidR="00BC6344" w:rsidRPr="00297F61" w:rsidRDefault="00FC272C" w:rsidP="00297F61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297F61">
        <w:rPr>
          <w:sz w:val="20"/>
          <w:szCs w:val="20"/>
        </w:rPr>
        <w:t>TS</w:t>
      </w:r>
      <w:r w:rsidR="0048515B">
        <w:rPr>
          <w:sz w:val="20"/>
          <w:szCs w:val="20"/>
        </w:rPr>
        <w:t xml:space="preserve"> </w:t>
      </w:r>
      <w:r w:rsidRPr="00297F61">
        <w:rPr>
          <w:sz w:val="20"/>
          <w:szCs w:val="20"/>
        </w:rPr>
        <w:t>38.101-1</w:t>
      </w:r>
      <w:r w:rsidR="00297F61" w:rsidRPr="00297F61">
        <w:rPr>
          <w:sz w:val="20"/>
          <w:szCs w:val="20"/>
        </w:rPr>
        <w:t>,</w:t>
      </w:r>
      <w:r w:rsidRPr="00297F61">
        <w:rPr>
          <w:sz w:val="20"/>
          <w:szCs w:val="20"/>
        </w:rPr>
        <w:t xml:space="preserve"> v</w:t>
      </w:r>
      <w:r w:rsidR="00297F61" w:rsidRPr="00297F61">
        <w:rPr>
          <w:sz w:val="20"/>
          <w:szCs w:val="20"/>
        </w:rPr>
        <w:t xml:space="preserve">ersion </w:t>
      </w:r>
      <w:r w:rsidRPr="00297F61">
        <w:rPr>
          <w:sz w:val="20"/>
          <w:szCs w:val="20"/>
        </w:rPr>
        <w:t>15.4.0</w:t>
      </w:r>
    </w:p>
    <w:sectPr w:rsidR="00BC6344" w:rsidRPr="00297F61" w:rsidSect="008D0BE5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F56" w:rsidRDefault="00080F56">
      <w:r>
        <w:separator/>
      </w:r>
    </w:p>
  </w:endnote>
  <w:endnote w:type="continuationSeparator" w:id="0">
    <w:p w:rsidR="00080F56" w:rsidRDefault="0008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Default="0054747F" w:rsidP="005474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47F" w:rsidRDefault="0054747F" w:rsidP="005474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Pr="00DB1239" w:rsidRDefault="0054747F" w:rsidP="0054747F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23C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23C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F56" w:rsidRDefault="00080F56">
      <w:r>
        <w:separator/>
      </w:r>
    </w:p>
  </w:footnote>
  <w:footnote w:type="continuationSeparator" w:id="0">
    <w:p w:rsidR="00080F56" w:rsidRDefault="00080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Default="005474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1" w15:restartNumberingAfterBreak="0">
    <w:nsid w:val="20A20EEE"/>
    <w:multiLevelType w:val="hybridMultilevel"/>
    <w:tmpl w:val="0232894C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194355C"/>
    <w:multiLevelType w:val="hybridMultilevel"/>
    <w:tmpl w:val="7B8891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36A0F8F2"/>
    <w:lvl w:ilvl="0" w:tplc="D22A2DE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03F83"/>
    <w:multiLevelType w:val="hybridMultilevel"/>
    <w:tmpl w:val="95682FD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E5"/>
    <w:rsid w:val="00043C42"/>
    <w:rsid w:val="00080F56"/>
    <w:rsid w:val="000811C6"/>
    <w:rsid w:val="000A2B10"/>
    <w:rsid w:val="000B3236"/>
    <w:rsid w:val="00136A29"/>
    <w:rsid w:val="00137CB8"/>
    <w:rsid w:val="00165ED3"/>
    <w:rsid w:val="001B2D59"/>
    <w:rsid w:val="00222291"/>
    <w:rsid w:val="00297F61"/>
    <w:rsid w:val="002E08D9"/>
    <w:rsid w:val="0033768F"/>
    <w:rsid w:val="00364A8A"/>
    <w:rsid w:val="003836D9"/>
    <w:rsid w:val="003A12D3"/>
    <w:rsid w:val="003E4D0F"/>
    <w:rsid w:val="004133A6"/>
    <w:rsid w:val="00417DEE"/>
    <w:rsid w:val="0048515B"/>
    <w:rsid w:val="00494143"/>
    <w:rsid w:val="004A1E32"/>
    <w:rsid w:val="0054747F"/>
    <w:rsid w:val="0059116B"/>
    <w:rsid w:val="005B3E1E"/>
    <w:rsid w:val="006529BE"/>
    <w:rsid w:val="006B12F8"/>
    <w:rsid w:val="006C34AE"/>
    <w:rsid w:val="006F06C8"/>
    <w:rsid w:val="00706348"/>
    <w:rsid w:val="007126BD"/>
    <w:rsid w:val="007174D8"/>
    <w:rsid w:val="007575D1"/>
    <w:rsid w:val="007663D2"/>
    <w:rsid w:val="007A3453"/>
    <w:rsid w:val="007D29D1"/>
    <w:rsid w:val="00802605"/>
    <w:rsid w:val="00803629"/>
    <w:rsid w:val="008164AD"/>
    <w:rsid w:val="00837047"/>
    <w:rsid w:val="008406EB"/>
    <w:rsid w:val="00864623"/>
    <w:rsid w:val="00874646"/>
    <w:rsid w:val="008817B7"/>
    <w:rsid w:val="00887430"/>
    <w:rsid w:val="0089025D"/>
    <w:rsid w:val="008B61BA"/>
    <w:rsid w:val="008C2AED"/>
    <w:rsid w:val="008D0BE5"/>
    <w:rsid w:val="008D41AA"/>
    <w:rsid w:val="00920086"/>
    <w:rsid w:val="009C23C1"/>
    <w:rsid w:val="009C659D"/>
    <w:rsid w:val="00B37230"/>
    <w:rsid w:val="00B451C8"/>
    <w:rsid w:val="00B61C73"/>
    <w:rsid w:val="00BC6344"/>
    <w:rsid w:val="00BE4DCD"/>
    <w:rsid w:val="00BF39D8"/>
    <w:rsid w:val="00C44878"/>
    <w:rsid w:val="00C774A6"/>
    <w:rsid w:val="00CA1DE3"/>
    <w:rsid w:val="00CC2DD1"/>
    <w:rsid w:val="00D428D1"/>
    <w:rsid w:val="00DE1D24"/>
    <w:rsid w:val="00E11D54"/>
    <w:rsid w:val="00E14DB3"/>
    <w:rsid w:val="00E74033"/>
    <w:rsid w:val="00E80A46"/>
    <w:rsid w:val="00ED67B8"/>
    <w:rsid w:val="00ED6FEC"/>
    <w:rsid w:val="00EE0C02"/>
    <w:rsid w:val="00F917D7"/>
    <w:rsid w:val="00F960C0"/>
    <w:rsid w:val="00FA2B5C"/>
    <w:rsid w:val="00FB301B"/>
    <w:rsid w:val="00FC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5D7A6F-4FEB-4527-9388-AEFFA705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D0BE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D0BE5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8D0BE5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8D0B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0BE5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8D0BE5"/>
    <w:rPr>
      <w:rFonts w:ascii="Arial" w:eastAsia="Times New Roman" w:hAnsi="Arial" w:cs="Times New Roman"/>
      <w:szCs w:val="20"/>
      <w:lang w:eastAsia="ja-JP" w:bidi="hi-IN"/>
    </w:rPr>
  </w:style>
  <w:style w:type="paragraph" w:customStyle="1" w:styleId="NW">
    <w:name w:val="NW"/>
    <w:basedOn w:val="Normal"/>
    <w:rsid w:val="008D0BE5"/>
    <w:pPr>
      <w:keepLines/>
      <w:ind w:left="1135" w:hanging="851"/>
    </w:pPr>
  </w:style>
  <w:style w:type="paragraph" w:customStyle="1" w:styleId="B1">
    <w:name w:val="B1"/>
    <w:basedOn w:val="List"/>
    <w:link w:val="B1Char"/>
    <w:rsid w:val="008D0BE5"/>
    <w:pPr>
      <w:ind w:left="568" w:hanging="284"/>
      <w:contextualSpacing w:val="0"/>
    </w:pPr>
  </w:style>
  <w:style w:type="paragraph" w:styleId="Footer">
    <w:name w:val="footer"/>
    <w:basedOn w:val="Header"/>
    <w:link w:val="FooterChar"/>
    <w:uiPriority w:val="99"/>
    <w:rsid w:val="008D0BE5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D0BE5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8D0BE5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8D0BE5"/>
  </w:style>
  <w:style w:type="character" w:customStyle="1" w:styleId="Heading1Char1">
    <w:name w:val="Heading 1 Char1"/>
    <w:link w:val="Heading1"/>
    <w:rsid w:val="008D0BE5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8D0BE5"/>
    <w:rPr>
      <w:rFonts w:ascii="Times New Roman" w:eastAsia="Times New Roman" w:hAnsi="Times New Roman" w:cs="Times New Roman"/>
      <w:b/>
      <w:bCs/>
      <w:sz w:val="16"/>
      <w:szCs w:val="24"/>
    </w:rPr>
  </w:style>
  <w:style w:type="character" w:customStyle="1" w:styleId="B1Char">
    <w:name w:val="B1 Char"/>
    <w:link w:val="B1"/>
    <w:locked/>
    <w:rsid w:val="008D0BE5"/>
    <w:rPr>
      <w:rFonts w:ascii="Times New Roman" w:eastAsia="Times New Roman" w:hAnsi="Times New Roman" w:cs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D0BE5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hAnsi="Arial"/>
      <w:noProof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8D0BE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Doc-text2Char">
    <w:name w:val="Doc-text2 Char"/>
    <w:link w:val="Doc-text2"/>
    <w:rsid w:val="008D0BE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Doc-titleChar">
    <w:name w:val="Doc-title Char"/>
    <w:link w:val="Doc-title"/>
    <w:rsid w:val="008D0BE5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D0BE5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sz w:val="20"/>
      <w:lang w:val="x-none" w:eastAsia="en-GB"/>
    </w:rPr>
  </w:style>
  <w:style w:type="paragraph" w:customStyle="1" w:styleId="EmailDiscussion2">
    <w:name w:val="EmailDiscussion2"/>
    <w:basedOn w:val="Doc-text2"/>
    <w:qFormat/>
    <w:rsid w:val="008D0BE5"/>
  </w:style>
  <w:style w:type="character" w:customStyle="1" w:styleId="EmailDiscussionChar">
    <w:name w:val="EmailDiscussion Char"/>
    <w:link w:val="EmailDiscussion"/>
    <w:rsid w:val="008D0BE5"/>
    <w:rPr>
      <w:rFonts w:ascii="Arial" w:eastAsia="MS Mincho" w:hAnsi="Arial" w:cs="Times New Roman"/>
      <w:b/>
      <w:sz w:val="20"/>
      <w:szCs w:val="24"/>
      <w:lang w:val="x-none" w:eastAsia="en-GB"/>
    </w:rPr>
  </w:style>
  <w:style w:type="paragraph" w:styleId="List">
    <w:name w:val="List"/>
    <w:basedOn w:val="Normal"/>
    <w:uiPriority w:val="99"/>
    <w:semiHidden/>
    <w:unhideWhenUsed/>
    <w:rsid w:val="008D0BE5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D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0BE5"/>
    <w:rPr>
      <w:rFonts w:ascii="Times New Roman" w:eastAsia="Times New Roman" w:hAnsi="Times New Roman" w:cs="Times New Roman"/>
      <w:sz w:val="24"/>
      <w:szCs w:val="24"/>
    </w:rPr>
  </w:style>
  <w:style w:type="paragraph" w:customStyle="1" w:styleId="B2">
    <w:name w:val="B2"/>
    <w:basedOn w:val="List2"/>
    <w:link w:val="B2Char"/>
    <w:rsid w:val="00BC6344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ko-KR"/>
    </w:rPr>
  </w:style>
  <w:style w:type="character" w:customStyle="1" w:styleId="B2Char">
    <w:name w:val="B2 Char"/>
    <w:link w:val="B2"/>
    <w:locked/>
    <w:rsid w:val="00BC634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BC634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547</Words>
  <Characters>2826</Characters>
  <Application>Microsoft Office Word</Application>
  <DocSecurity>0</DocSecurity>
  <Lines>64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9</cp:revision>
  <dcterms:created xsi:type="dcterms:W3CDTF">2019-02-15T21:07:00Z</dcterms:created>
  <dcterms:modified xsi:type="dcterms:W3CDTF">2019-02-15T22:25:00Z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c7a2c867-d789-4c86-965e-5c4fdaf5a0c4</vt:lpwstr>
  </property>
  <property fmtid="{D5CDD505-2E9C-101B-9397-08002B2CF9AE}" pid="3" name="CTP_TimeStamp">
    <vt:lpwstr>2019-02-15 22:25:58Z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